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2E28" w14:textId="611E0A15" w:rsidR="00CA2D84" w:rsidRDefault="00EB0123" w:rsidP="00553B36">
      <w:pPr>
        <w:jc w:val="center"/>
      </w:pPr>
      <w:r>
        <w:rPr>
          <w:noProof/>
        </w:rPr>
        <w:drawing>
          <wp:inline distT="0" distB="0" distL="0" distR="0" wp14:anchorId="5875A1FE" wp14:editId="33D4695D">
            <wp:extent cx="2101109" cy="2133600"/>
            <wp:effectExtent l="19050" t="19050" r="13970" b="19050"/>
            <wp:docPr id="2"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ed image"/>
                    <pic:cNvPicPr>
                      <a:picLocks noChangeAspect="1"/>
                    </pic:cNvPicPr>
                  </pic:nvPicPr>
                  <pic:blipFill>
                    <a:blip r:embed="rId6" cstate="print">
                      <a:extLst>
                        <a:ext uri="{BEBA8EAE-BF5A-486C-A8C5-ECC9F3942E4B}">
                          <a14:imgProps xmlns:a14="http://schemas.microsoft.com/office/drawing/2010/main">
                            <a14:imgLayer r:embed="rId7">
                              <a14:imgEffect>
                                <a14:backgroundRemoval t="9962" b="89655" l="9705" r="89873">
                                  <a14:foregroundMark x1="48523" y1="13027" x2="48523" y2="13027"/>
                                  <a14:backgroundMark x1="59072" y1="99234" x2="59072" y2="99234"/>
                                  <a14:backgroundMark x1="61603" y1="98467" x2="45148" y2="95402"/>
                                  <a14:backgroundMark x1="39662" y1="97318" x2="39662" y2="97318"/>
                                  <a14:backgroundMark x1="39662" y1="97318" x2="39662" y2="97318"/>
                                  <a14:backgroundMark x1="61603" y1="92720" x2="61603" y2="92720"/>
                                  <a14:backgroundMark x1="37553" y1="93103" x2="37553" y2="93103"/>
                                  <a14:backgroundMark x1="37553" y1="96169" x2="37553" y2="96169"/>
                                  <a14:backgroundMark x1="41350" y1="96935" x2="41350" y2="96935"/>
                                  <a14:backgroundMark x1="41772" y1="96169" x2="41772" y2="96169"/>
                                  <a14:backgroundMark x1="41350" y1="95785" x2="41350" y2="95785"/>
                                  <a14:backgroundMark x1="41350" y1="95785" x2="41350" y2="95785"/>
                                  <a14:backgroundMark x1="40084" y1="93103" x2="40084" y2="93103"/>
                                  <a14:backgroundMark x1="36287" y1="96552" x2="36287" y2="96552"/>
                                  <a14:backgroundMark x1="43038" y1="96552" x2="43038" y2="96552"/>
                                  <a14:backgroundMark x1="44726" y1="96935" x2="44726" y2="96935"/>
                                  <a14:backgroundMark x1="45148" y1="96552" x2="45148" y2="96552"/>
                                  <a14:backgroundMark x1="47679" y1="96552" x2="47679" y2="96552"/>
                                  <a14:backgroundMark x1="48101" y1="96552" x2="48101" y2="96552"/>
                                  <a14:backgroundMark x1="48523" y1="97701" x2="48523" y2="97701"/>
                                  <a14:backgroundMark x1="47257" y1="94253" x2="47257" y2="94253"/>
                                  <a14:backgroundMark x1="51899" y1="94636" x2="51899" y2="94636"/>
                                  <a14:backgroundMark x1="51477" y1="95785" x2="52743" y2="95402"/>
                                  <a14:backgroundMark x1="54430" y1="95402" x2="54430" y2="95402"/>
                                  <a14:backgroundMark x1="56540" y1="97318" x2="56540" y2="97318"/>
                                  <a14:backgroundMark x1="56540" y1="97318" x2="56540" y2="97318"/>
                                  <a14:backgroundMark x1="58228" y1="97318" x2="58228" y2="97318"/>
                                  <a14:backgroundMark x1="58228" y1="97318" x2="58228" y2="97318"/>
                                  <a14:backgroundMark x1="57806" y1="95019" x2="57806" y2="95019"/>
                                  <a14:backgroundMark x1="57384" y1="94636" x2="57384" y2="94636"/>
                                  <a14:backgroundMark x1="59072" y1="94636" x2="59072" y2="94636"/>
                                  <a14:backgroundMark x1="59916" y1="94636" x2="59916" y2="94636"/>
                                  <a14:backgroundMark x1="61603" y1="95785" x2="61603" y2="95785"/>
                                  <a14:backgroundMark x1="60759" y1="96935" x2="60759" y2="96935"/>
                                  <a14:backgroundMark x1="46835" y1="87739" x2="46835" y2="87739"/>
                                  <a14:backgroundMark x1="1688" y1="88506" x2="5063" y2="88506"/>
                                  <a14:backgroundMark x1="95359" y1="88506" x2="95359" y2="8850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111846" cy="2144503"/>
                    </a:xfrm>
                    <a:prstGeom prst="rect">
                      <a:avLst/>
                    </a:prstGeom>
                    <a:noFill/>
                    <a:ln>
                      <a:solidFill>
                        <a:sysClr val="window" lastClr="FFFFFF"/>
                      </a:solidFill>
                    </a:ln>
                  </pic:spPr>
                </pic:pic>
              </a:graphicData>
            </a:graphic>
          </wp:inline>
        </w:drawing>
      </w:r>
    </w:p>
    <w:p w14:paraId="439D545D" w14:textId="77777777" w:rsidR="00EB0123" w:rsidRDefault="00EB0123"/>
    <w:p w14:paraId="57354550" w14:textId="000D3A34" w:rsidR="00EB0123" w:rsidRDefault="00EB0123" w:rsidP="00820779">
      <w:pPr>
        <w:contextualSpacing/>
      </w:pPr>
      <w:r>
        <w:tab/>
      </w:r>
      <w:r>
        <w:tab/>
      </w:r>
      <w:r>
        <w:tab/>
      </w:r>
      <w:r>
        <w:tab/>
      </w:r>
      <w:r>
        <w:tab/>
      </w:r>
      <w:r>
        <w:tab/>
      </w:r>
      <w:r>
        <w:tab/>
      </w:r>
      <w:r>
        <w:tab/>
      </w:r>
      <w:r>
        <w:tab/>
        <w:t>March 9</w:t>
      </w:r>
      <w:r w:rsidRPr="00EB0123">
        <w:rPr>
          <w:vertAlign w:val="superscript"/>
        </w:rPr>
        <w:t>th</w:t>
      </w:r>
      <w:proofErr w:type="gramStart"/>
      <w:r>
        <w:t xml:space="preserve"> 2024</w:t>
      </w:r>
      <w:proofErr w:type="gramEnd"/>
    </w:p>
    <w:p w14:paraId="11A8C9FD" w14:textId="3A5CDC8D" w:rsidR="00EB0123" w:rsidRDefault="00EB0123" w:rsidP="00820779">
      <w:pPr>
        <w:contextualSpacing/>
      </w:pPr>
      <w:r>
        <w:t xml:space="preserve">                                                                                                                                   Big Lake, Alaska</w:t>
      </w:r>
    </w:p>
    <w:p w14:paraId="06F862BF" w14:textId="77777777" w:rsidR="00EB0123" w:rsidRDefault="00EB0123" w:rsidP="00820779">
      <w:pPr>
        <w:contextualSpacing/>
      </w:pPr>
    </w:p>
    <w:p w14:paraId="13E69E83" w14:textId="36DACDC4" w:rsidR="00EB0123" w:rsidRDefault="00EB0123" w:rsidP="00820779">
      <w:pPr>
        <w:contextualSpacing/>
      </w:pPr>
      <w:r>
        <w:t>Chief Justice John Dan Kemp</w:t>
      </w:r>
    </w:p>
    <w:p w14:paraId="482AEDC5" w14:textId="7E2AD63F" w:rsidR="00EB0123" w:rsidRDefault="00EB0123" w:rsidP="00820779">
      <w:pPr>
        <w:contextualSpacing/>
      </w:pPr>
      <w:r>
        <w:t>625 Marshall Street</w:t>
      </w:r>
    </w:p>
    <w:p w14:paraId="227D6195" w14:textId="3A4B517C" w:rsidR="00EB0123" w:rsidRDefault="00EB0123" w:rsidP="00820779">
      <w:pPr>
        <w:contextualSpacing/>
      </w:pPr>
      <w:r>
        <w:t>Little Rock, Arkansas 72201</w:t>
      </w:r>
    </w:p>
    <w:p w14:paraId="6FA97BF4" w14:textId="77777777" w:rsidR="00EB0123" w:rsidRDefault="00EB0123" w:rsidP="00820779">
      <w:pPr>
        <w:contextualSpacing/>
      </w:pPr>
    </w:p>
    <w:p w14:paraId="64C5FD60" w14:textId="482CA420" w:rsidR="00EB0123" w:rsidRDefault="00EB0123" w:rsidP="00820779">
      <w:pPr>
        <w:contextualSpacing/>
      </w:pPr>
      <w:r>
        <w:t>Thru: Administrative Officers</w:t>
      </w:r>
    </w:p>
    <w:p w14:paraId="0C00D214" w14:textId="77777777" w:rsidR="00EB0123" w:rsidRDefault="00EB0123" w:rsidP="00820779">
      <w:pPr>
        <w:contextualSpacing/>
      </w:pPr>
    </w:p>
    <w:p w14:paraId="78FAE213" w14:textId="222F2E9B" w:rsidR="00EB0123" w:rsidRDefault="00EB0123" w:rsidP="00820779">
      <w:pPr>
        <w:contextualSpacing/>
      </w:pPr>
      <w:r>
        <w:t>In regards to: The Arkansas State Court</w:t>
      </w:r>
    </w:p>
    <w:p w14:paraId="4F18B1A2" w14:textId="27C2F799" w:rsidR="00EB0123" w:rsidRDefault="00EB0123" w:rsidP="00820779">
      <w:pPr>
        <w:contextualSpacing/>
      </w:pPr>
      <w:r>
        <w:t xml:space="preserve">                         SHERREL JEAN COURVELLE</w:t>
      </w:r>
    </w:p>
    <w:p w14:paraId="37B65F2D" w14:textId="5C4AB3DF" w:rsidR="00EB0123" w:rsidRDefault="00EB0123" w:rsidP="00820779">
      <w:pPr>
        <w:contextualSpacing/>
      </w:pPr>
      <w:r>
        <w:t xml:space="preserve">                         Treatment of Sherrel Jean Courvelle</w:t>
      </w:r>
    </w:p>
    <w:p w14:paraId="034EF6F5" w14:textId="77777777" w:rsidR="00EB0123" w:rsidRDefault="00EB0123"/>
    <w:p w14:paraId="3FE1EE91" w14:textId="4BD3FCEC" w:rsidR="00EB0123" w:rsidRDefault="00EB0123">
      <w:r>
        <w:t xml:space="preserve">Dear Sir: </w:t>
      </w:r>
    </w:p>
    <w:p w14:paraId="192DC8F9" w14:textId="6B736AA7" w:rsidR="00820779" w:rsidRDefault="00EB0123">
      <w:r>
        <w:t xml:space="preserve">It has come to my attention that members of your Office are calling the Arkansas State Court a joke; apparently, they have forgotten that our courts hold superior concurrent general jurisdiction with respect to all matters and subjects that the Common Law is able to </w:t>
      </w:r>
      <w:r w:rsidR="00820779">
        <w:t xml:space="preserve">act upon.  Please see the Saving to Suitors Clause of the Judiciary Act incumbent upon The Constitution of the United States of America, and also save us the necessity of taking this action to the District Courts of the United States for a formal removal and remand to the Arkansas State Court.  </w:t>
      </w:r>
    </w:p>
    <w:p w14:paraId="30F79F77" w14:textId="23E3F634" w:rsidR="00EB0123" w:rsidRDefault="00820779">
      <w:r>
        <w:t xml:space="preserve">You have already received Due Notice that the Arkansas Courts are in Session as provided for under Ex </w:t>
      </w:r>
      <w:proofErr w:type="spellStart"/>
      <w:r>
        <w:t>Parte</w:t>
      </w:r>
      <w:proofErr w:type="spellEnd"/>
      <w:r>
        <w:t xml:space="preserve"> Milligan and it should be no surprise that they have rendered judgement under Common Law in the case of Sherrel Jean Courvelle, a duly provenanced, declared, recorded, and published member of The Arkansas Assembly.  </w:t>
      </w:r>
    </w:p>
    <w:p w14:paraId="74297660" w14:textId="25F673AC" w:rsidR="00E12D77" w:rsidRDefault="003946D7">
      <w:r>
        <w:t xml:space="preserve">As you are undoubtedly aware, with or without an Oath, you are occupying a position of Public Trust in Arkansas, and operating a System of Administrative, Maritime Commerce, and Admiralty Courts at the State level.  The Admiralty Courts operate under the State of Arkansas and also administer the Estates of deceased British Territorial Seamen; the STATE OF ARKANSAS COURTS address issues arising under </w:t>
      </w:r>
      <w:r>
        <w:lastRenderedPageBreak/>
        <w:t>Maritime Commerce</w:t>
      </w:r>
      <w:r w:rsidR="00E12D77">
        <w:t xml:space="preserve">, while the Administrative Courts have been repeatedly reduced to considering matters of internal corporate administration.  Your System does not administer the Common Law Courts in this country, but that in no way changes their authority with respect to the Americans known as Arkansans living within the physical borders of the State. </w:t>
      </w:r>
    </w:p>
    <w:p w14:paraId="290A3295" w14:textId="4353CFE6" w:rsidR="00E12D77" w:rsidRDefault="00E12D77">
      <w:r>
        <w:t xml:space="preserve">Upon consideration the Arkansas State Court </w:t>
      </w:r>
      <w:r w:rsidR="00C008B4">
        <w:t xml:space="preserve">convened and found a consistent pattern of malicious trespass and impersonation, seeking to misrepresent the Claimant, Sherrell Jean Courvelle, who holds the only survivorship interest in the Sherrell Jean Courvelle Estate, and to manipulate court venues so as to secure convictions against a series of Legal Fictions including SHERREL JEAN COURVELLE, while pursuing a course of trespass, illegal confiscation, personage, barratry, and dereliction of Usufructuary duty.  </w:t>
      </w:r>
    </w:p>
    <w:p w14:paraId="2D4F3B3F" w14:textId="059A14EB" w:rsidR="00C008B4" w:rsidRDefault="00C008B4">
      <w:r>
        <w:t xml:space="preserve">I am enclosing a standard information packet for Justices, Judges, Attorneys, and Counselors at Law regarding the situation in which we find ourselves.  All administrators and employees of the Federal Municipal Corporations and their state-of-state franchises are under strict orders to Cease and Desist all illegal confiscations, all acts of trespass, all claims of damages against Legal PERSONS only presumed to exist, which have been constructed on the basis of unconscionable, non-consensual foreign registrations and probate processes that are unlawful, illegal, and immoral --- and all predicated on Mercenary Conflicts misrepresented as wars.  </w:t>
      </w:r>
    </w:p>
    <w:p w14:paraId="48DB7A5B" w14:textId="77777777" w:rsidR="00574E46" w:rsidRDefault="00C008B4">
      <w:r>
        <w:t xml:space="preserve">You will no doubt remember the “Vietnam Conflict”.  </w:t>
      </w:r>
      <w:r w:rsidR="00574E46">
        <w:t>The American Civil War and all wars since then have been fought as Mercenary Conflicts and are not wars owed any dignification under the Law of War.</w:t>
      </w:r>
    </w:p>
    <w:p w14:paraId="5F589A7A" w14:textId="77777777" w:rsidR="00574E46" w:rsidRDefault="00574E46">
      <w:r>
        <w:t xml:space="preserve">The American Public, your Employers, the people that ultimately pay your paycheck, those who you are supposed to be serving in “good faith” have been mischaracterized, misrepresented, and pillaged under the False Pretense that this country is a “battlefield” and that they are Unknown Combatants in this phony “war”.  </w:t>
      </w:r>
    </w:p>
    <w:p w14:paraId="639B5C40" w14:textId="77777777" w:rsidR="00574E46" w:rsidRDefault="00574E46">
      <w:r>
        <w:t xml:space="preserve">They have also been impersonated as voluntary shareholders in a perpetually bankrupt Municipal Corporation and imagined to be bankrupt shareholders liable for the debts of the parent company as franchises under Maritime Commercial Law. </w:t>
      </w:r>
    </w:p>
    <w:p w14:paraId="31129F2D" w14:textId="6D85DD1C" w:rsidR="00574E46" w:rsidRDefault="00574E46">
      <w:r>
        <w:t>Enough of this bunko, Mr. Kemp; insomuch as “all crimes are commercial in nature” the State of Arkansas</w:t>
      </w:r>
      <w:r w:rsidR="00C96EE8">
        <w:t>, Inc.</w:t>
      </w:r>
      <w:r>
        <w:t xml:space="preserve"> and STATE OF ARKANSAS</w:t>
      </w:r>
      <w:r w:rsidR="00C96EE8">
        <w:t>, INC.,</w:t>
      </w:r>
      <w:r>
        <w:t xml:space="preserve"> have </w:t>
      </w:r>
      <w:r w:rsidR="00C96EE8">
        <w:t xml:space="preserve">both </w:t>
      </w:r>
      <w:r>
        <w:t>committed crimes of trespass, personage, and barratry against the Lawful Person and Estate of Sherrell Jean Courvelle</w:t>
      </w:r>
      <w:r w:rsidR="00C96EE8">
        <w:t xml:space="preserve"> and the findings of the Arkansas State Court take precedence and apply</w:t>
      </w:r>
      <w:r>
        <w:t xml:space="preserve">; it is up to you to show your leadership and own up to the responsibility of your assumed office and bring </w:t>
      </w:r>
      <w:r w:rsidR="00C96EE8">
        <w:t>these and similar actions</w:t>
      </w:r>
      <w:r>
        <w:t xml:space="preserve"> to a stop.  </w:t>
      </w:r>
    </w:p>
    <w:p w14:paraId="447F0AE2" w14:textId="77777777" w:rsidR="00C96EE8" w:rsidRDefault="00574E46">
      <w:r>
        <w:t>It is also your duty as an Officer of the Court to honor your Usufructuary Duty and hold the living American known as Sherrell Jean Courvelle harmless and repair her Good Name and Estate</w:t>
      </w:r>
      <w:r w:rsidR="00C96EE8">
        <w:t xml:space="preserve">, dissolve any presumed State Trust interest in the Estate in the presence of the living heir, return her property, and fully inform your Prosecutors to leave her and her property alone.  She stands under our jurisdiction, not theirs, and is neither their responsibility nor their property to manage. </w:t>
      </w:r>
    </w:p>
    <w:p w14:paraId="3C35892C" w14:textId="77777777" w:rsidR="009F454F" w:rsidRDefault="00C96EE8">
      <w:r>
        <w:t xml:space="preserve">So long as she does not voluntarily enter upon a Federal Jurisdiction delegated under one or the other of the operant Constitutions, or otherwise ratified by our States of the Union as a new Amendment, and accepting this delegation being </w:t>
      </w:r>
      <w:r w:rsidR="009F454F">
        <w:t>subject to regulation</w:t>
      </w:r>
      <w:r>
        <w:t xml:space="preserve"> published in the Congressional Record,  she is not subject to any law but God’s Law and American Common Law.  </w:t>
      </w:r>
      <w:r w:rsidR="009F454F">
        <w:t xml:space="preserve">And you, Sir, have cause to know that. </w:t>
      </w:r>
    </w:p>
    <w:p w14:paraId="1C6A4552" w14:textId="77777777" w:rsidR="009F454F" w:rsidRDefault="009F454F">
      <w:r>
        <w:lastRenderedPageBreak/>
        <w:t xml:space="preserve">The Arkansas State Court, the Court holding proper jurisdiction over the actual subject matter, the Lawful Person and Heir of the Sherrell Jean Courvelle Estate, has found the State of Arkansas/STATE OF ARKANSAS acting in collusion against the property and person of Sherrell Jean Courvelle, an American who never went to sea and had no cause to do so; an American who is owed every jot of Article IV of both The Constitution of the United States and The Constitution of the United States of America. </w:t>
      </w:r>
    </w:p>
    <w:p w14:paraId="74340F67" w14:textId="77777777" w:rsidR="009F454F" w:rsidRDefault="009F454F">
      <w:r>
        <w:t xml:space="preserve">What, Sir, are you going to do about this?  Laugh and think that the Courts of the actual and physical State, to whom and to which you owe everything, are powerless?  </w:t>
      </w:r>
    </w:p>
    <w:p w14:paraId="779A427F" w14:textId="22C3AD54" w:rsidR="00824FCD" w:rsidRDefault="009F454F">
      <w:r>
        <w:t xml:space="preserve">Let’s get this straight – the United States of America, Incorporated, is a Municipal Corporation in the District of Columbia; it operates under The Constitution of the United States of America, </w:t>
      </w:r>
      <w:r w:rsidR="00824FCD">
        <w:t xml:space="preserve">which created the British Territorial Federal Subcontractor.  All State of State franchise operations such as the State of Arkansas are obligated as franchises to operate under the same constraints with respect to the Americans they are under contract to serve in good faith. </w:t>
      </w:r>
    </w:p>
    <w:p w14:paraId="5A66B7F0" w14:textId="1C720CF5" w:rsidR="00C008B4" w:rsidRDefault="00824FCD">
      <w:r>
        <w:t>Similarly, the United States, Incorporated, and any Successors to Contract, operate as a second Municipal entity in the District of Columbia, under The Constitution of the United States.  It’s STATE OF STATE franchises, such as the STATE OF ARKANSAS, are also obligated to serve under the constitutional constraints</w:t>
      </w:r>
      <w:r w:rsidR="00C96EE8">
        <w:t xml:space="preserve"> </w:t>
      </w:r>
      <w:r>
        <w:t xml:space="preserve">and obligations to serve in good faith. </w:t>
      </w:r>
    </w:p>
    <w:p w14:paraId="2ED7ED62" w14:textId="62E7C91A" w:rsidR="00824FCD" w:rsidRDefault="00824FCD">
      <w:r>
        <w:t xml:space="preserve">Securing undisclosed and unconscionable registrations of an American infant and using this as an excuse to evade your responsibilities and obligations to her under these Constitutional Service Contracts is an act of conspiracy against the Constitutions that is punishable by death, not only as treason against Arkansas and its People, but under international law as well.  </w:t>
      </w:r>
    </w:p>
    <w:p w14:paraId="4FD6FB9A" w14:textId="3F5B64EC" w:rsidR="00824FCD" w:rsidRDefault="00824FCD">
      <w:r>
        <w:t xml:space="preserve">Allowing this woman to suffer what she has suffered at the hands </w:t>
      </w:r>
      <w:r w:rsidRPr="00824FCD">
        <w:rPr>
          <w:u w:val="single"/>
        </w:rPr>
        <w:t>of her own employees</w:t>
      </w:r>
      <w:r>
        <w:t xml:space="preserve"> is indeed a crime meriting the most implacable prosecution.   </w:t>
      </w:r>
      <w:r w:rsidR="004A20BC">
        <w:t xml:space="preserve">She is by no means naturally subject to any statute, code, rule, ordinance, or regulation promoted for the instruction of her employees and the Pretense that she is, based on unconscionable and undisclosed contracts, is abhorrent to justice. </w:t>
      </w:r>
    </w:p>
    <w:p w14:paraId="77BF7410" w14:textId="0349D4D9" w:rsidR="004A20BC" w:rsidRDefault="004A20BC">
      <w:r>
        <w:t xml:space="preserve">As the Chief Justice operating the Admiralty and Maritime Courts in Arkansas it is up to you to set your employees straight --- from the most Senior Prosecutor to the least clerk in the smallest County Court under your supervision.  Do not address, do not trespass upon, and do not harass any Arkansan who has declared their birthright political status; do no damage to their property, do not address any bills of attainder to them, or allege any debts based on the use of Federal Reserve Notes.  The Special Admiralty Courts are no longer needed </w:t>
      </w:r>
      <w:r w:rsidR="00877B1D">
        <w:t xml:space="preserve">and have no natural jurisdiction related to these people.  </w:t>
      </w:r>
    </w:p>
    <w:p w14:paraId="125E6486" w14:textId="77777777" w:rsidR="00D93F86" w:rsidRDefault="00877B1D">
      <w:r>
        <w:t xml:space="preserve">If, by chance, such an Arkansan has entered into a simple commercial agreement with a Federal Agency, such as the BLM, do not assume that that agreement is undertaken in the realm of Maritime Commerce; these Americans can undertake commerce on the land and have posted their indemnity bonds with the U.S. DEPARTMENT OF THE TREASURY to do so.  Thus, both the appearance and the actions of the Federal and State of State employees engaged in trespassing upon Sherrell Jean Courvelle and her private Estate, were indeed trespasses in the literal and legal sense of the word.  </w:t>
      </w:r>
    </w:p>
    <w:p w14:paraId="75D83746" w14:textId="5E58B835" w:rsidR="00877B1D" w:rsidRDefault="00877B1D">
      <w:r>
        <w:t>She did not</w:t>
      </w:r>
      <w:r w:rsidR="00D93F86">
        <w:t>, it should be noted,</w:t>
      </w:r>
      <w:r>
        <w:t xml:space="preserve"> transgress against any of you and did not harm any “Federal Property” --- the mustangs she kindly rescued from BLM custody were under threat of death when she adopted them, and are in fact part of the property interest she inherited, while all these employees, including the BLM Employees, are merely acting in a presumed custodial capacity</w:t>
      </w:r>
      <w:r w:rsidR="00D93F86">
        <w:t xml:space="preserve"> with respect to her property.  </w:t>
      </w:r>
    </w:p>
    <w:p w14:paraId="68092A4C" w14:textId="1B3E214F" w:rsidR="00D93F86" w:rsidRDefault="00D93F86">
      <w:r>
        <w:lastRenderedPageBreak/>
        <w:t xml:space="preserve">These and other intolerable Legal Presumptions on the part of our Employees are flagrant personage crimes and are unsupported by the undisclosed and unconscionable “birth registrations” used to justify these actions before the Courts, and in fact represent Fraud upon the Courts.  </w:t>
      </w:r>
    </w:p>
    <w:p w14:paraId="7B9578E0" w14:textId="5CCC2D36" w:rsidR="00D93F86" w:rsidRDefault="00D93F86">
      <w:r>
        <w:t xml:space="preserve">If I were you, sitting as the Chief Justice of the Supreme Court in Arkansas, I would be outraged by this prosecutorial incompetence and the personage and barratry that has been employed against this kindly and simple woman in gross violation of her clearly stated immunity against Bills of Attainder and the equally clearly stated obligation under Article IV of both active Federal Constitutions to protect her “person” --- not deliberately mischaracterize her and prey upon </w:t>
      </w:r>
      <w:r w:rsidR="00CC7861">
        <w:t xml:space="preserve">artificial persons constructed </w:t>
      </w:r>
      <w:r w:rsidR="00284D5A">
        <w:t xml:space="preserve">“in her name” </w:t>
      </w:r>
      <w:r w:rsidR="00CC7861">
        <w:t xml:space="preserve">by those </w:t>
      </w:r>
      <w:r w:rsidR="00284D5A">
        <w:t>acting as</w:t>
      </w:r>
      <w:r w:rsidR="00CC7861">
        <w:t xml:space="preserve"> Public Usufructs --- and then abandoning their post and obligation to hold her harmless and unharmed by their acts</w:t>
      </w:r>
      <w:r>
        <w:t xml:space="preserve">.  </w:t>
      </w:r>
    </w:p>
    <w:p w14:paraId="2436A6E6" w14:textId="2BC51D34" w:rsidR="00CC7861" w:rsidRDefault="00CC7861">
      <w:r>
        <w:t>These usufructuary</w:t>
      </w:r>
      <w:r w:rsidR="00284D5A">
        <w:t xml:space="preserve"> obligations</w:t>
      </w:r>
      <w:r>
        <w:t xml:space="preserve"> pertain equally to the Federal parent corporations and the state-of-state franchises and their operations. </w:t>
      </w:r>
    </w:p>
    <w:p w14:paraId="0A9E2E98" w14:textId="3772C651" w:rsidR="00D93F86" w:rsidRDefault="00D93F86">
      <w:r>
        <w:t xml:space="preserve">We are contacting you because we have an interest in this case.  It is the first time in a long while that a properly </w:t>
      </w:r>
      <w:r w:rsidR="00CC7861">
        <w:t xml:space="preserve">defined peerage has been assembled to create a State Jural Assembly in Arkansas and exercise their State Court with respect to their members and their member’s property rights.  We wish to see justice done and a reasonable bar established between the Employers and the Employees. We also wish to see the Employees properly instructed and redirected and advised that they are surrounded by millions of people who are in fact Arkansans, and fully enabled to object to any supposition or improperly obtained registration saying otherwise. </w:t>
      </w:r>
    </w:p>
    <w:p w14:paraId="13EDD34F" w14:textId="769454A8" w:rsidR="00284D5A" w:rsidRDefault="00284D5A">
      <w:r>
        <w:t xml:space="preserve">Please see the standard materials attached. </w:t>
      </w:r>
    </w:p>
    <w:p w14:paraId="3A335A3D" w14:textId="0B2549D0" w:rsidR="00284D5A" w:rsidRDefault="00284D5A">
      <w:r>
        <w:tab/>
      </w:r>
      <w:r>
        <w:tab/>
      </w:r>
      <w:r>
        <w:tab/>
      </w:r>
      <w:r>
        <w:tab/>
      </w:r>
      <w:r>
        <w:tab/>
      </w:r>
      <w:r>
        <w:tab/>
      </w:r>
      <w:r>
        <w:tab/>
        <w:t xml:space="preserve">Cordially, </w:t>
      </w:r>
    </w:p>
    <w:p w14:paraId="556AA1DC" w14:textId="0B84410A" w:rsidR="00284D5A" w:rsidRDefault="00284D5A" w:rsidP="00284D5A">
      <w:pPr>
        <w:contextualSpacing/>
      </w:pPr>
      <w:r>
        <w:tab/>
      </w:r>
      <w:r>
        <w:tab/>
      </w:r>
      <w:r>
        <w:tab/>
      </w:r>
      <w:r>
        <w:tab/>
      </w:r>
      <w:r>
        <w:tab/>
      </w:r>
      <w:r>
        <w:tab/>
      </w:r>
      <w:r>
        <w:tab/>
        <w:t>Anna Maria Riezinger, Fiduciary</w:t>
      </w:r>
    </w:p>
    <w:p w14:paraId="368BCBC5" w14:textId="78490CE0" w:rsidR="00284D5A" w:rsidRDefault="00284D5A" w:rsidP="00284D5A">
      <w:pPr>
        <w:contextualSpacing/>
      </w:pPr>
      <w:r>
        <w:t xml:space="preserve">                                                                                                     The United States of America</w:t>
      </w:r>
    </w:p>
    <w:p w14:paraId="73ED8B3F" w14:textId="009B36CE" w:rsidR="00284D5A" w:rsidRDefault="00284D5A" w:rsidP="00284D5A">
      <w:pPr>
        <w:contextualSpacing/>
      </w:pPr>
      <w:r>
        <w:t xml:space="preserve">                                                                                                      In care of Box 520994</w:t>
      </w:r>
    </w:p>
    <w:p w14:paraId="4B3A8B69" w14:textId="253B8AD0" w:rsidR="00284D5A" w:rsidRDefault="00284D5A" w:rsidP="00284D5A">
      <w:pPr>
        <w:contextualSpacing/>
      </w:pPr>
      <w:r>
        <w:t xml:space="preserve">                                                                                                      Big Lake, Alaska  99652</w:t>
      </w:r>
    </w:p>
    <w:p w14:paraId="2BE7B27B" w14:textId="77777777" w:rsidR="00574E46" w:rsidRDefault="00574E46"/>
    <w:p w14:paraId="3CAB6D7D" w14:textId="77777777" w:rsidR="00E12D77" w:rsidRDefault="00E12D77"/>
    <w:p w14:paraId="45E24369" w14:textId="77777777" w:rsidR="00820779" w:rsidRDefault="00820779"/>
    <w:p w14:paraId="0386F50B" w14:textId="77777777" w:rsidR="00820779" w:rsidRDefault="00820779"/>
    <w:sectPr w:rsidR="008207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D0EA" w14:textId="77777777" w:rsidR="00D3113C" w:rsidRDefault="00D3113C" w:rsidP="007A1E5B">
      <w:pPr>
        <w:spacing w:after="0" w:line="240" w:lineRule="auto"/>
      </w:pPr>
      <w:r>
        <w:separator/>
      </w:r>
    </w:p>
  </w:endnote>
  <w:endnote w:type="continuationSeparator" w:id="0">
    <w:p w14:paraId="1C18D4F0" w14:textId="77777777" w:rsidR="00D3113C" w:rsidRDefault="00D3113C" w:rsidP="007A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082309"/>
      <w:docPartObj>
        <w:docPartGallery w:val="Page Numbers (Bottom of Page)"/>
        <w:docPartUnique/>
      </w:docPartObj>
    </w:sdtPr>
    <w:sdtEndPr/>
    <w:sdtContent>
      <w:sdt>
        <w:sdtPr>
          <w:id w:val="1728636285"/>
          <w:docPartObj>
            <w:docPartGallery w:val="Page Numbers (Top of Page)"/>
            <w:docPartUnique/>
          </w:docPartObj>
        </w:sdtPr>
        <w:sdtEndPr/>
        <w:sdtContent>
          <w:p w14:paraId="0F53357B" w14:textId="16C9E339" w:rsidR="007A1E5B" w:rsidRDefault="007A1E5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6CB5937" w14:textId="77777777" w:rsidR="007A1E5B" w:rsidRDefault="007A1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B224" w14:textId="77777777" w:rsidR="00D3113C" w:rsidRDefault="00D3113C" w:rsidP="007A1E5B">
      <w:pPr>
        <w:spacing w:after="0" w:line="240" w:lineRule="auto"/>
      </w:pPr>
      <w:r>
        <w:separator/>
      </w:r>
    </w:p>
  </w:footnote>
  <w:footnote w:type="continuationSeparator" w:id="0">
    <w:p w14:paraId="14A3735C" w14:textId="77777777" w:rsidR="00D3113C" w:rsidRDefault="00D3113C" w:rsidP="007A1E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23"/>
    <w:rsid w:val="00284D5A"/>
    <w:rsid w:val="003946D7"/>
    <w:rsid w:val="003D1E1A"/>
    <w:rsid w:val="004A20BC"/>
    <w:rsid w:val="00553B36"/>
    <w:rsid w:val="00574E46"/>
    <w:rsid w:val="007A1E5B"/>
    <w:rsid w:val="00820779"/>
    <w:rsid w:val="00824FCD"/>
    <w:rsid w:val="00877B1D"/>
    <w:rsid w:val="009F454F"/>
    <w:rsid w:val="00C008B4"/>
    <w:rsid w:val="00C96EE8"/>
    <w:rsid w:val="00CA2D84"/>
    <w:rsid w:val="00CC7861"/>
    <w:rsid w:val="00D3113C"/>
    <w:rsid w:val="00D93F86"/>
    <w:rsid w:val="00E12D77"/>
    <w:rsid w:val="00EB0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1E35"/>
  <w15:chartTrackingRefBased/>
  <w15:docId w15:val="{6153E1F7-3044-46FB-A561-377A8A71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1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01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01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01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01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01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1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1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1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1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01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01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01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01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01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1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1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123"/>
    <w:rPr>
      <w:rFonts w:eastAsiaTheme="majorEastAsia" w:cstheme="majorBidi"/>
      <w:color w:val="272727" w:themeColor="text1" w:themeTint="D8"/>
    </w:rPr>
  </w:style>
  <w:style w:type="paragraph" w:styleId="Title">
    <w:name w:val="Title"/>
    <w:basedOn w:val="Normal"/>
    <w:next w:val="Normal"/>
    <w:link w:val="TitleChar"/>
    <w:uiPriority w:val="10"/>
    <w:qFormat/>
    <w:rsid w:val="00EB0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1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1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1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123"/>
    <w:pPr>
      <w:spacing w:before="160"/>
      <w:jc w:val="center"/>
    </w:pPr>
    <w:rPr>
      <w:i/>
      <w:iCs/>
      <w:color w:val="404040" w:themeColor="text1" w:themeTint="BF"/>
    </w:rPr>
  </w:style>
  <w:style w:type="character" w:customStyle="1" w:styleId="QuoteChar">
    <w:name w:val="Quote Char"/>
    <w:basedOn w:val="DefaultParagraphFont"/>
    <w:link w:val="Quote"/>
    <w:uiPriority w:val="29"/>
    <w:rsid w:val="00EB0123"/>
    <w:rPr>
      <w:i/>
      <w:iCs/>
      <w:color w:val="404040" w:themeColor="text1" w:themeTint="BF"/>
    </w:rPr>
  </w:style>
  <w:style w:type="paragraph" w:styleId="ListParagraph">
    <w:name w:val="List Paragraph"/>
    <w:basedOn w:val="Normal"/>
    <w:uiPriority w:val="34"/>
    <w:qFormat/>
    <w:rsid w:val="00EB0123"/>
    <w:pPr>
      <w:ind w:left="720"/>
      <w:contextualSpacing/>
    </w:pPr>
  </w:style>
  <w:style w:type="character" w:styleId="IntenseEmphasis">
    <w:name w:val="Intense Emphasis"/>
    <w:basedOn w:val="DefaultParagraphFont"/>
    <w:uiPriority w:val="21"/>
    <w:qFormat/>
    <w:rsid w:val="00EB0123"/>
    <w:rPr>
      <w:i/>
      <w:iCs/>
      <w:color w:val="2F5496" w:themeColor="accent1" w:themeShade="BF"/>
    </w:rPr>
  </w:style>
  <w:style w:type="paragraph" w:styleId="IntenseQuote">
    <w:name w:val="Intense Quote"/>
    <w:basedOn w:val="Normal"/>
    <w:next w:val="Normal"/>
    <w:link w:val="IntenseQuoteChar"/>
    <w:uiPriority w:val="30"/>
    <w:qFormat/>
    <w:rsid w:val="00EB0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0123"/>
    <w:rPr>
      <w:i/>
      <w:iCs/>
      <w:color w:val="2F5496" w:themeColor="accent1" w:themeShade="BF"/>
    </w:rPr>
  </w:style>
  <w:style w:type="character" w:styleId="IntenseReference">
    <w:name w:val="Intense Reference"/>
    <w:basedOn w:val="DefaultParagraphFont"/>
    <w:uiPriority w:val="32"/>
    <w:qFormat/>
    <w:rsid w:val="00EB0123"/>
    <w:rPr>
      <w:b/>
      <w:bCs/>
      <w:smallCaps/>
      <w:color w:val="2F5496" w:themeColor="accent1" w:themeShade="BF"/>
      <w:spacing w:val="5"/>
    </w:rPr>
  </w:style>
  <w:style w:type="paragraph" w:styleId="Header">
    <w:name w:val="header"/>
    <w:basedOn w:val="Normal"/>
    <w:link w:val="HeaderChar"/>
    <w:uiPriority w:val="99"/>
    <w:unhideWhenUsed/>
    <w:rsid w:val="007A1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E5B"/>
  </w:style>
  <w:style w:type="paragraph" w:styleId="Footer">
    <w:name w:val="footer"/>
    <w:basedOn w:val="Normal"/>
    <w:link w:val="FooterChar"/>
    <w:uiPriority w:val="99"/>
    <w:unhideWhenUsed/>
    <w:rsid w:val="007A1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Heinze</dc:creator>
  <cp:keywords/>
  <dc:description/>
  <cp:lastModifiedBy>Kimberly Baker</cp:lastModifiedBy>
  <cp:revision>2</cp:revision>
  <dcterms:created xsi:type="dcterms:W3CDTF">2024-03-19T00:41:00Z</dcterms:created>
  <dcterms:modified xsi:type="dcterms:W3CDTF">2024-03-19T00:41:00Z</dcterms:modified>
</cp:coreProperties>
</file>